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F7CA1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384D678" w:rsidR="00FA2AA9" w:rsidRPr="00FA2AA9" w:rsidRDefault="00994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JOHNNY DARIEL DIAZ MARTE </w:t>
            </w:r>
          </w:p>
        </w:tc>
        <w:tc>
          <w:tcPr>
            <w:tcW w:w="2806" w:type="dxa"/>
            <w:gridSpan w:val="7"/>
          </w:tcPr>
          <w:p w14:paraId="5486BCA3" w14:textId="167D024F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99463D">
              <w:rPr>
                <w:rFonts w:ascii="Arial" w:hAnsi="Arial" w:cs="Arial"/>
                <w:sz w:val="20"/>
                <w:szCs w:val="20"/>
              </w:rPr>
              <w:t>3/03/2022</w:t>
            </w:r>
          </w:p>
        </w:tc>
      </w:tr>
      <w:tr w:rsidR="0099463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DCF3F01" w:rsidR="00FA2AA9" w:rsidRPr="00FA2AA9" w:rsidRDefault="0099463D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00119183564</w:t>
            </w:r>
          </w:p>
        </w:tc>
        <w:tc>
          <w:tcPr>
            <w:tcW w:w="3674" w:type="dxa"/>
            <w:gridSpan w:val="10"/>
          </w:tcPr>
          <w:p w14:paraId="23724546" w14:textId="529AC36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63D">
              <w:rPr>
                <w:rFonts w:ascii="Arial" w:hAnsi="Arial" w:cs="Arial"/>
                <w:sz w:val="20"/>
                <w:szCs w:val="20"/>
              </w:rPr>
              <w:t>07/12/1991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F7CA1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439DA9C" w:rsidR="00FA2AA9" w:rsidRPr="00FA2AA9" w:rsidRDefault="00994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004C54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CA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62ED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AD64CB2" w:rsidR="00FA2AA9" w:rsidRPr="00FA2AA9" w:rsidRDefault="00BF7CA1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99463D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B0A1C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463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43" w:type="dxa"/>
            <w:gridSpan w:val="5"/>
          </w:tcPr>
          <w:p w14:paraId="6976225E" w14:textId="543A0DA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99463D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F7CA1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FE80D8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99463D">
              <w:rPr>
                <w:rFonts w:ascii="Arial" w:hAnsi="Arial" w:cs="Arial"/>
                <w:b/>
                <w:sz w:val="20"/>
                <w:szCs w:val="20"/>
              </w:rPr>
              <w:t xml:space="preserve">1 AÑO </w:t>
            </w:r>
            <w:r w:rsidR="001E65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99463D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D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463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7CA1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F7CA1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BF7CA1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CA1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BF7CA1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CA1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4A5778C" w:rsidR="00E203C4" w:rsidRPr="00FA2AA9" w:rsidRDefault="00BF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13FB8E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A1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0265C2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20DE81EC" w:rsidR="00E203C4" w:rsidRPr="00FA2AA9" w:rsidRDefault="005A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F7CA1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463D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F7CA1" w:rsidRPr="00FA2AA9" w14:paraId="021774AC" w14:textId="77777777">
        <w:tc>
          <w:tcPr>
            <w:tcW w:w="2772" w:type="dxa"/>
            <w:gridSpan w:val="3"/>
          </w:tcPr>
          <w:p w14:paraId="7EAFAFD6" w14:textId="4AC3A802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99463D">
              <w:rPr>
                <w:rFonts w:ascii="Arial" w:hAnsi="Arial" w:cs="Arial"/>
                <w:sz w:val="20"/>
                <w:szCs w:val="20"/>
              </w:rPr>
              <w:t xml:space="preserve"> 92.99</w:t>
            </w:r>
          </w:p>
        </w:tc>
        <w:tc>
          <w:tcPr>
            <w:tcW w:w="2773" w:type="dxa"/>
            <w:gridSpan w:val="7"/>
          </w:tcPr>
          <w:p w14:paraId="34F99B81" w14:textId="71E19E18" w:rsidR="00E203C4" w:rsidRPr="00FA2AA9" w:rsidRDefault="00362EDF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99463D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3023" w:type="dxa"/>
            <w:gridSpan w:val="9"/>
          </w:tcPr>
          <w:p w14:paraId="66CF79F4" w14:textId="6A585640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9463D">
              <w:rPr>
                <w:rFonts w:ascii="Arial" w:hAnsi="Arial" w:cs="Arial"/>
                <w:sz w:val="20"/>
                <w:szCs w:val="20"/>
              </w:rPr>
              <w:t>MC (Kg/m2): 29.42</w:t>
            </w:r>
          </w:p>
          <w:p w14:paraId="40867A87" w14:textId="090EAC20" w:rsidR="00E203C4" w:rsidRPr="009559FE" w:rsidRDefault="00D921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(&gt; 35 es de alto riesgo</w:t>
            </w:r>
          </w:p>
        </w:tc>
      </w:tr>
      <w:tr w:rsidR="00BF7CA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07BEBDB" w:rsidR="00E203C4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362EDF">
              <w:rPr>
                <w:rFonts w:ascii="Arial" w:hAnsi="Arial" w:cs="Arial"/>
                <w:sz w:val="20"/>
                <w:szCs w:val="20"/>
              </w:rPr>
              <w:t>42.2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F7CA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E3BA067" w:rsidR="00E203C4" w:rsidRDefault="000764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3293B38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9463D">
              <w:rPr>
                <w:rFonts w:ascii="Arial" w:hAnsi="Arial" w:cs="Arial"/>
                <w:sz w:val="20"/>
                <w:szCs w:val="20"/>
              </w:rPr>
              <w:t>84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CD99FD6" w:rsidR="00E203C4" w:rsidRPr="00FA2AA9" w:rsidRDefault="0099463D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D05F260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B2D1E" id="3 Elipse" o:spid="_x0000_s1026" style="position:absolute;margin-left:149.7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un74O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D3173FE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27437" id="4 Elipse" o:spid="_x0000_s1026" style="position:absolute;margin-left:137.05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eJy+W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11E0883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BF7CA1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CA1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BF7CA1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BF7CA1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C42B" w14:textId="77777777" w:rsidR="00D04D8F" w:rsidRDefault="00D04D8F">
      <w:r>
        <w:separator/>
      </w:r>
    </w:p>
  </w:endnote>
  <w:endnote w:type="continuationSeparator" w:id="0">
    <w:p w14:paraId="0623F996" w14:textId="77777777" w:rsidR="00D04D8F" w:rsidRDefault="00D0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2684" w14:textId="77777777" w:rsidR="00D04D8F" w:rsidRDefault="00D04D8F">
      <w:r>
        <w:separator/>
      </w:r>
    </w:p>
  </w:footnote>
  <w:footnote w:type="continuationSeparator" w:id="0">
    <w:p w14:paraId="088B799B" w14:textId="77777777" w:rsidR="00D04D8F" w:rsidRDefault="00D0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E656B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62EDF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A4AB6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9463D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BF7CA1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04D8F"/>
    <w:rsid w:val="00D157BE"/>
    <w:rsid w:val="00D216BF"/>
    <w:rsid w:val="00D40503"/>
    <w:rsid w:val="00D44C79"/>
    <w:rsid w:val="00D70F5B"/>
    <w:rsid w:val="00D71E1F"/>
    <w:rsid w:val="00D84E26"/>
    <w:rsid w:val="00D8574F"/>
    <w:rsid w:val="00D921EC"/>
    <w:rsid w:val="00DA3026"/>
    <w:rsid w:val="00DE23E3"/>
    <w:rsid w:val="00DE3695"/>
    <w:rsid w:val="00E0795F"/>
    <w:rsid w:val="00E16265"/>
    <w:rsid w:val="00E203C4"/>
    <w:rsid w:val="00E26406"/>
    <w:rsid w:val="00E46DEA"/>
    <w:rsid w:val="00E522B8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4CE29-5D88-4A75-B08D-726AF6C9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2022-03-03T14:25:00Z</dcterms:created>
  <dcterms:modified xsi:type="dcterms:W3CDTF">2022-03-03T14:25:00Z</dcterms:modified>
</cp:coreProperties>
</file>